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E2505">
      <w:pPr>
        <w:widowControl/>
        <w:jc w:val="center"/>
        <w:rPr>
          <w:rFonts w:ascii="方正小标宋简体" w:hAnsi="Calibri" w:eastAsia="方正小标宋简体"/>
          <w:b/>
          <w:sz w:val="44"/>
        </w:rPr>
      </w:pPr>
      <w:r>
        <w:rPr>
          <w:rFonts w:ascii="方正小标宋简体" w:hAnsi="Calibri" w:eastAsia="方正小标宋简体"/>
          <w:b/>
          <w:sz w:val="44"/>
        </w:rPr>
        <w:t>国有资产交易过程信息公开表</w:t>
      </w:r>
    </w:p>
    <w:p w14:paraId="7AF5E8EE">
      <w:pPr>
        <w:widowControl/>
        <w:jc w:val="left"/>
        <w:rPr>
          <w:rFonts w:hint="eastAsia" w:ascii="方正小标宋简体" w:hAnsi="黑体" w:eastAsia="方正小标宋简体"/>
          <w:b/>
          <w:sz w:val="24"/>
          <w:szCs w:val="24"/>
        </w:rPr>
      </w:pPr>
      <w:r>
        <w:rPr>
          <w:rFonts w:ascii="方正小标宋简体" w:hAnsi="Calibri" w:eastAsia="方正小标宋简体"/>
          <w:b/>
          <w:sz w:val="28"/>
        </w:rPr>
        <w:t>国有资产交易项目名称：</w:t>
      </w:r>
      <w:r>
        <w:rPr>
          <w:rFonts w:hint="eastAsia" w:ascii="方正小标宋简体" w:hAnsi="黑体" w:eastAsia="方正小标宋简体"/>
          <w:sz w:val="24"/>
          <w:szCs w:val="24"/>
        </w:rPr>
        <w:t>山东钢铁股份有限公司莱芜分公司焦化外供蒸汽管道等资产包</w:t>
      </w:r>
    </w:p>
    <w:tbl>
      <w:tblPr>
        <w:tblStyle w:val="2"/>
        <w:tblW w:w="0" w:type="auto"/>
        <w:tblInd w:w="0" w:type="dxa"/>
        <w:tblLayout w:type="fixed"/>
        <w:tblCellMar>
          <w:top w:w="0" w:type="dxa"/>
          <w:left w:w="0" w:type="dxa"/>
          <w:bottom w:w="0" w:type="dxa"/>
          <w:right w:w="0" w:type="dxa"/>
        </w:tblCellMar>
      </w:tblPr>
      <w:tblGrid>
        <w:gridCol w:w="2840"/>
        <w:gridCol w:w="954"/>
        <w:gridCol w:w="1531"/>
        <w:gridCol w:w="3572"/>
      </w:tblGrid>
      <w:tr w14:paraId="6CD8450B">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9DE2F7">
            <w:pPr>
              <w:widowControl/>
              <w:jc w:val="center"/>
              <w:rPr>
                <w:rFonts w:ascii="方正小标宋简体" w:hAnsi="Calibri" w:eastAsia="方正小标宋简体"/>
                <w:b/>
                <w:sz w:val="28"/>
              </w:rPr>
            </w:pPr>
            <w:r>
              <w:rPr>
                <w:rFonts w:ascii="方正小标宋简体" w:hAnsi="Calibri" w:eastAsia="方正小标宋简体"/>
                <w:b/>
                <w:sz w:val="28"/>
              </w:rPr>
              <w:t>基本信息</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60317">
            <w:pPr>
              <w:widowControl/>
              <w:jc w:val="left"/>
              <w:rPr>
                <w:rFonts w:ascii="仿宋_GB2312" w:hAnsi="Calibri" w:eastAsia="仿宋_GB2312"/>
                <w:sz w:val="28"/>
              </w:rPr>
            </w:pPr>
            <w:r>
              <w:rPr>
                <w:rFonts w:ascii="仿宋_GB2312" w:hAnsi="Calibri" w:eastAsia="仿宋_GB2312"/>
                <w:sz w:val="28"/>
              </w:rPr>
              <w:t>标的名称：</w:t>
            </w:r>
            <w:r>
              <w:rPr>
                <w:rFonts w:hint="eastAsia" w:ascii="仿宋_GB2312" w:hAnsi="Calibri" w:eastAsia="仿宋_GB2312"/>
                <w:sz w:val="28"/>
              </w:rPr>
              <w:t>山东钢铁股份有限公司莱芜分公司焦化外供蒸汽管道等资产包</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B32EF">
            <w:pPr>
              <w:widowControl/>
              <w:spacing w:line="560" w:lineRule="exact"/>
              <w:rPr>
                <w:rFonts w:ascii="仿宋_GB2312" w:hAnsi="Calibri" w:eastAsia="仿宋_GB2312"/>
                <w:sz w:val="28"/>
              </w:rPr>
            </w:pPr>
            <w:r>
              <w:rPr>
                <w:rFonts w:ascii="仿宋_GB2312" w:hAnsi="Calibri" w:eastAsia="仿宋_GB2312"/>
                <w:sz w:val="28"/>
              </w:rPr>
              <w:t>标的概况：</w:t>
            </w:r>
            <w:r>
              <w:rPr>
                <w:rFonts w:hint="eastAsia" w:ascii="仿宋_GB2312" w:hAnsi="Calibri" w:eastAsia="仿宋_GB2312"/>
                <w:sz w:val="28"/>
              </w:rPr>
              <w:t>主要包括炼焦一车间焦制样室、炼焦一车间筛贮焦楼除尘值班室、炼焦3车间输焦配电室、外供蒸汽管道、除盐水箱等资产等，在山东产权交易中心公开挂牌确定受让方为南通力恒能源科技有限公司。</w:t>
            </w:r>
          </w:p>
        </w:tc>
      </w:tr>
      <w:tr w14:paraId="1C267508">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E61D2A">
            <w:pPr>
              <w:widowControl/>
              <w:jc w:val="center"/>
              <w:rPr>
                <w:rFonts w:ascii="方正小标宋简体" w:hAnsi="Calibri" w:eastAsia="方正小标宋简体"/>
                <w:b/>
                <w:sz w:val="28"/>
              </w:rPr>
            </w:pPr>
            <w:r>
              <w:rPr>
                <w:rFonts w:ascii="方正小标宋简体" w:hAnsi="Calibri" w:eastAsia="方正小标宋简体"/>
                <w:b/>
                <w:sz w:val="28"/>
              </w:rPr>
              <w:t>挂牌信息</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3C70F8">
            <w:pPr>
              <w:widowControl/>
              <w:jc w:val="left"/>
              <w:rPr>
                <w:rFonts w:ascii="仿宋_GB2312" w:hAnsi="Calibri" w:eastAsia="仿宋_GB2312"/>
                <w:sz w:val="28"/>
              </w:rPr>
            </w:pPr>
            <w:r>
              <w:rPr>
                <w:rFonts w:ascii="仿宋_GB2312" w:hAnsi="Calibri" w:eastAsia="仿宋_GB2312"/>
                <w:sz w:val="28"/>
              </w:rPr>
              <w:t>转让底价：</w:t>
            </w:r>
            <w:r>
              <w:rPr>
                <w:rFonts w:hint="eastAsia" w:ascii="仿宋_GB2312" w:hAnsi="Calibri" w:eastAsia="仿宋_GB2312"/>
                <w:sz w:val="28"/>
              </w:rPr>
              <w:t>343.899</w:t>
            </w:r>
            <w:r>
              <w:rPr>
                <w:rFonts w:ascii="仿宋_GB2312" w:hAnsi="Calibri" w:eastAsia="仿宋_GB2312"/>
                <w:sz w:val="28"/>
              </w:rPr>
              <w:t>万元</w:t>
            </w:r>
          </w:p>
        </w:tc>
      </w:tr>
      <w:tr w14:paraId="788C4190">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A40BAB">
            <w:pPr>
              <w:widowControl/>
              <w:jc w:val="center"/>
              <w:rPr>
                <w:rFonts w:ascii="方正小标宋简体" w:hAnsi="Calibri" w:eastAsia="方正小标宋简体"/>
                <w:b/>
                <w:sz w:val="28"/>
              </w:rPr>
            </w:pPr>
            <w:r>
              <w:rPr>
                <w:rFonts w:ascii="方正小标宋简体" w:hAnsi="Calibri" w:eastAsia="方正小标宋简体"/>
                <w:b/>
                <w:sz w:val="28"/>
              </w:rPr>
              <w:t>成交情况</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14FD4">
            <w:pPr>
              <w:widowControl/>
              <w:jc w:val="center"/>
              <w:rPr>
                <w:rFonts w:ascii="仿宋_GB2312" w:hAnsi="Calibri" w:eastAsia="仿宋_GB2312"/>
                <w:sz w:val="28"/>
              </w:rPr>
            </w:pPr>
            <w:r>
              <w:rPr>
                <w:rFonts w:ascii="仿宋_GB2312" w:hAnsi="Calibri" w:eastAsia="仿宋_GB2312"/>
                <w:sz w:val="28"/>
              </w:rPr>
              <w:t>是否成交</w:t>
            </w:r>
          </w:p>
        </w:tc>
      </w:tr>
      <w:tr w14:paraId="3B734634">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5C4C5">
            <w:pPr>
              <w:widowControl/>
              <w:jc w:val="center"/>
              <w:rPr>
                <w:rFonts w:ascii="方正小标宋简体" w:hAnsi="Calibri" w:eastAsia="方正小标宋简体"/>
                <w:b/>
                <w:sz w:val="28"/>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56D43">
            <w:pPr>
              <w:widowControl/>
              <w:jc w:val="center"/>
              <w:rPr>
                <w:rFonts w:ascii="仿宋_GB2312" w:hAnsi="Calibri" w:eastAsia="仿宋_GB2312"/>
                <w:sz w:val="28"/>
              </w:rPr>
            </w:pPr>
            <w:r>
              <w:rPr>
                <w:rFonts w:ascii="仿宋_GB2312" w:hAnsi="Calibri" w:eastAsia="仿宋_GB2312"/>
                <w:sz w:val="28"/>
              </w:rPr>
              <w:t>否□</w:t>
            </w:r>
          </w:p>
        </w:tc>
        <w:tc>
          <w:tcPr>
            <w:tcW w:w="51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433346">
            <w:pPr>
              <w:widowControl/>
              <w:jc w:val="left"/>
              <w:rPr>
                <w:rFonts w:ascii="仿宋_GB2312" w:hAnsi="Calibri" w:eastAsia="仿宋_GB2312"/>
                <w:sz w:val="28"/>
              </w:rPr>
            </w:pPr>
            <w:bookmarkStart w:id="0" w:name="_GoBack"/>
            <w:bookmarkEnd w:id="0"/>
            <w:r>
              <w:rPr>
                <w:rFonts w:ascii="仿宋_GB2312" w:hAnsi="Calibri" w:eastAsia="仿宋_GB2312"/>
                <w:sz w:val="28"/>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26035</wp:posOffset>
                      </wp:positionV>
                      <wp:extent cx="339090" cy="293370"/>
                      <wp:effectExtent l="4445" t="4445" r="12065" b="6985"/>
                      <wp:wrapNone/>
                      <wp:docPr id="1" name="矩形 1"/>
                      <wp:cNvGraphicFramePr/>
                      <a:graphic xmlns:a="http://schemas.openxmlformats.org/drawingml/2006/main">
                        <a:graphicData uri="http://schemas.microsoft.com/office/word/2010/wordprocessingShape">
                          <wps:wsp>
                            <wps:cNvSpPr/>
                            <wps:spPr>
                              <a:xfrm>
                                <a:off x="0" y="0"/>
                                <a:ext cx="339090" cy="29337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0709E4A7">
                                  <w:pPr>
                                    <w:widowControl/>
                                    <w:jc w:val="left"/>
                                    <w:rPr>
                                      <w:rFonts w:ascii="Calibri" w:hAnsi="Calibri"/>
                                      <w:sz w:val="24"/>
                                    </w:rPr>
                                  </w:pPr>
                                  <w:r>
                                    <w:rPr>
                                      <w:rFonts w:ascii="仿宋_GB2312" w:eastAsia="仿宋_GB2312"/>
                                      <w:sz w:val="24"/>
                                    </w:rPr>
                                    <w:t>√</w:t>
                                  </w:r>
                                </w:p>
                              </w:txbxContent>
                            </wps:txbx>
                            <wps:bodyPr upright="1"/>
                          </wps:wsp>
                        </a:graphicData>
                      </a:graphic>
                    </wp:anchor>
                  </w:drawing>
                </mc:Choice>
                <mc:Fallback>
                  <w:pict>
                    <v:rect id="_x0000_s1026" o:spid="_x0000_s1026" o:spt="1" style="position:absolute;left:0pt;margin-left:16.65pt;margin-top:2.05pt;height:23.1pt;width:26.7pt;z-index:251659264;mso-width-relative:margin;mso-height-relative:margin;" fillcolor="#FFFFFF" filled="t" stroked="t" coordsize="21600,21600" o:gfxdata="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9BrH9UAAAAGAQAADwAAAAAAAAABACAAAAAiAAAAZHJzL2Rvd25y&#10;ZXYueG1sUEsBAhQAFAAAAAgAh07iQKHEpkwBAgAAKAQAAA4AAAAAAAAAAQAgAAAAJAEAAGRycy9l&#10;Mm9Eb2MueG1sUEsFBgAAAAAGAAYAWQEAAJcFAAAAAA==&#10;">
                      <v:path/>
                      <v:fill on="t" focussize="0,0"/>
                      <v:stroke joinstyle="round"/>
                      <v:imagedata o:title=""/>
                      <o:lock v:ext="edit"/>
                      <v:textbox>
                        <w:txbxContent>
                          <w:p w14:paraId="0709E4A7">
                            <w:pPr>
                              <w:widowControl/>
                              <w:jc w:val="left"/>
                              <w:rPr>
                                <w:rFonts w:ascii="Calibri" w:hAnsi="Calibri"/>
                                <w:sz w:val="24"/>
                              </w:rPr>
                            </w:pPr>
                            <w:r>
                              <w:rPr>
                                <w:rFonts w:ascii="仿宋_GB2312" w:eastAsia="仿宋_GB2312"/>
                                <w:sz w:val="24"/>
                              </w:rPr>
                              <w:t>√</w:t>
                            </w:r>
                          </w:p>
                        </w:txbxContent>
                      </v:textbox>
                    </v:rect>
                  </w:pict>
                </mc:Fallback>
              </mc:AlternateContent>
            </w:r>
            <w:r>
              <w:rPr>
                <w:rFonts w:ascii="仿宋_GB2312" w:hAnsi="Calibri" w:eastAsia="仿宋_GB2312"/>
                <w:sz w:val="28"/>
              </w:rPr>
              <w:t>是</w:t>
            </w:r>
          </w:p>
          <w:p w14:paraId="63E32989">
            <w:pPr>
              <w:widowControl/>
              <w:jc w:val="left"/>
              <w:rPr>
                <w:rFonts w:ascii="仿宋_GB2312" w:hAnsi="Calibri" w:eastAsia="仿宋_GB2312"/>
                <w:sz w:val="28"/>
              </w:rPr>
            </w:pPr>
            <w:r>
              <w:rPr>
                <w:rFonts w:ascii="仿宋_GB2312" w:hAnsi="Calibri" w:eastAsia="仿宋_GB2312"/>
                <w:sz w:val="28"/>
              </w:rPr>
              <w:t>交易价格：</w:t>
            </w:r>
            <w:r>
              <w:rPr>
                <w:rFonts w:hint="eastAsia" w:ascii="仿宋_GB2312" w:hAnsi="Calibri" w:eastAsia="仿宋_GB2312"/>
                <w:sz w:val="28"/>
              </w:rPr>
              <w:t>343.899</w:t>
            </w:r>
            <w:r>
              <w:rPr>
                <w:rFonts w:ascii="仿宋_GB2312" w:hAnsi="Calibri" w:eastAsia="仿宋_GB2312"/>
                <w:sz w:val="28"/>
              </w:rPr>
              <w:t>万元</w:t>
            </w:r>
          </w:p>
        </w:tc>
      </w:tr>
      <w:tr w14:paraId="55820833">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970C45">
            <w:pPr>
              <w:widowControl/>
              <w:ind w:left="280" w:hanging="280"/>
              <w:rPr>
                <w:rFonts w:ascii="方正小标宋简体" w:hAnsi="Calibri" w:eastAsia="方正小标宋简体"/>
                <w:b/>
                <w:sz w:val="28"/>
              </w:rPr>
            </w:pPr>
            <w:r>
              <w:rPr>
                <w:rFonts w:ascii="方正小标宋简体" w:hAnsi="Calibri" w:eastAsia="方正小标宋简体"/>
                <w:b/>
                <w:sz w:val="28"/>
              </w:rPr>
              <w:t>最近一年度/最近一期标的企业财务信息</w:t>
            </w:r>
          </w:p>
          <w:p w14:paraId="74832764">
            <w:pPr>
              <w:widowControl/>
              <w:rPr>
                <w:rFonts w:ascii="方正小标宋简体" w:hAnsi="Calibri" w:eastAsia="方正小标宋简体"/>
                <w:sz w:val="28"/>
              </w:rPr>
            </w:pPr>
            <w:r>
              <w:rPr>
                <w:rFonts w:ascii="仿宋_GB2312" w:hAnsi="Calibri" w:eastAsia="仿宋_GB2312"/>
                <w:sz w:val="28"/>
              </w:rPr>
              <w:t>（如交易标的为实物资产或无形资产不填写）</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A64A88">
            <w:pPr>
              <w:widowControl/>
              <w:jc w:val="left"/>
              <w:rPr>
                <w:rFonts w:ascii="仿宋_GB2312" w:hAnsi="Calibri" w:eastAsia="仿宋_GB2312"/>
                <w:sz w:val="28"/>
              </w:rPr>
            </w:pPr>
            <w:r>
              <w:rPr>
                <w:rFonts w:ascii="仿宋_GB2312" w:hAnsi="Calibri" w:eastAsia="仿宋_GB2312"/>
                <w:sz w:val="28"/>
              </w:rPr>
              <w:t>审计时间</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B2D61">
            <w:pPr>
              <w:widowControl/>
              <w:jc w:val="center"/>
              <w:rPr>
                <w:rFonts w:ascii="仿宋_GB2312" w:hAnsi="Calibri" w:eastAsia="仿宋_GB2312"/>
                <w:sz w:val="28"/>
              </w:rPr>
            </w:pPr>
          </w:p>
        </w:tc>
      </w:tr>
      <w:tr w14:paraId="5FD88DE1">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771C26">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89467">
            <w:pPr>
              <w:widowControl/>
              <w:jc w:val="left"/>
              <w:rPr>
                <w:rFonts w:ascii="仿宋_GB2312" w:hAnsi="Calibri" w:eastAsia="仿宋_GB2312"/>
                <w:sz w:val="28"/>
              </w:rPr>
            </w:pPr>
            <w:r>
              <w:rPr>
                <w:rFonts w:ascii="仿宋_GB2312" w:hAnsi="Calibri" w:eastAsia="仿宋_GB2312"/>
                <w:sz w:val="28"/>
              </w:rPr>
              <w:t>资产总额（万元）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5AE847">
            <w:pPr>
              <w:widowControl/>
              <w:jc w:val="center"/>
              <w:rPr>
                <w:rFonts w:ascii="仿宋_GB2312" w:hAnsi="Calibri" w:eastAsia="仿宋_GB2312"/>
                <w:sz w:val="28"/>
              </w:rPr>
            </w:pPr>
          </w:p>
        </w:tc>
      </w:tr>
      <w:tr w14:paraId="0BD04D55">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0022A">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338F45">
            <w:pPr>
              <w:widowControl/>
              <w:jc w:val="left"/>
              <w:rPr>
                <w:rFonts w:ascii="仿宋_GB2312" w:hAnsi="Calibri" w:eastAsia="仿宋_GB2312"/>
                <w:sz w:val="28"/>
              </w:rPr>
            </w:pPr>
            <w:r>
              <w:rPr>
                <w:rFonts w:ascii="仿宋_GB2312" w:hAnsi="Calibri" w:eastAsia="仿宋_GB2312"/>
                <w:sz w:val="28"/>
              </w:rPr>
              <w:t>负债总额（万元）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3A714">
            <w:pPr>
              <w:widowControl/>
              <w:jc w:val="center"/>
              <w:rPr>
                <w:rFonts w:ascii="仿宋_GB2312" w:hAnsi="Calibri" w:eastAsia="仿宋_GB2312"/>
                <w:sz w:val="28"/>
              </w:rPr>
            </w:pPr>
          </w:p>
        </w:tc>
      </w:tr>
      <w:tr w14:paraId="0D607F49">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B2A5E">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4736C5">
            <w:pPr>
              <w:widowControl/>
              <w:rPr>
                <w:rFonts w:ascii="仿宋_GB2312" w:hAnsi="Calibri" w:eastAsia="仿宋_GB2312"/>
                <w:sz w:val="28"/>
              </w:rPr>
            </w:pPr>
            <w:r>
              <w:rPr>
                <w:rFonts w:ascii="仿宋_GB2312" w:hAnsi="Calibri" w:eastAsia="仿宋_GB2312"/>
                <w:sz w:val="28"/>
              </w:rPr>
              <w:t>所有者权益（万元）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9F536F">
            <w:pPr>
              <w:widowControl/>
              <w:jc w:val="center"/>
              <w:rPr>
                <w:rFonts w:ascii="仿宋_GB2312" w:hAnsi="Calibri" w:eastAsia="仿宋_GB2312"/>
                <w:sz w:val="28"/>
              </w:rPr>
            </w:pPr>
          </w:p>
        </w:tc>
      </w:tr>
      <w:tr w14:paraId="4ABF6569">
        <w:tblPrEx>
          <w:tblCellMar>
            <w:top w:w="0" w:type="dxa"/>
            <w:left w:w="0" w:type="dxa"/>
            <w:bottom w:w="0" w:type="dxa"/>
            <w:right w:w="0" w:type="dxa"/>
          </w:tblCellMar>
        </w:tblPrEx>
        <w:trPr>
          <w:trHeight w:val="617" w:hRule="atLeast"/>
        </w:trPr>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8466C">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92DD25">
            <w:pPr>
              <w:widowControl/>
              <w:jc w:val="left"/>
              <w:rPr>
                <w:rFonts w:ascii="仿宋_GB2312" w:hAnsi="Calibri" w:eastAsia="仿宋_GB2312"/>
                <w:sz w:val="28"/>
              </w:rPr>
            </w:pPr>
            <w:r>
              <w:rPr>
                <w:rFonts w:ascii="仿宋_GB2312" w:hAnsi="Calibri" w:eastAsia="仿宋_GB2312"/>
                <w:sz w:val="28"/>
              </w:rPr>
              <w:t>营业收入（元）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D42BA5">
            <w:pPr>
              <w:widowControl/>
              <w:jc w:val="center"/>
              <w:rPr>
                <w:rFonts w:ascii="仿宋_GB2312" w:hAnsi="Calibri" w:eastAsia="仿宋_GB2312"/>
                <w:sz w:val="28"/>
              </w:rPr>
            </w:pPr>
          </w:p>
        </w:tc>
      </w:tr>
      <w:tr w14:paraId="7B8EFC52">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7EFC0">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9D39DB">
            <w:pPr>
              <w:widowControl/>
              <w:jc w:val="left"/>
              <w:rPr>
                <w:rFonts w:ascii="仿宋_GB2312" w:hAnsi="Calibri" w:eastAsia="仿宋_GB2312"/>
                <w:sz w:val="28"/>
              </w:rPr>
            </w:pPr>
            <w:r>
              <w:rPr>
                <w:rFonts w:ascii="仿宋_GB2312" w:hAnsi="Calibri" w:eastAsia="仿宋_GB2312"/>
                <w:sz w:val="28"/>
              </w:rPr>
              <w:t>净利润（万元）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F85BD">
            <w:pPr>
              <w:widowControl/>
              <w:jc w:val="center"/>
              <w:rPr>
                <w:rFonts w:ascii="仿宋_GB2312" w:hAnsi="Calibri" w:eastAsia="仿宋_GB2312"/>
                <w:sz w:val="28"/>
              </w:rPr>
            </w:pPr>
          </w:p>
        </w:tc>
      </w:tr>
    </w:tbl>
    <w:p w14:paraId="0E88C291">
      <w:pPr>
        <w:widowControl/>
        <w:jc w:val="left"/>
        <w:rPr>
          <w:rFonts w:ascii="Calibri" w:hAnsi="Calibri"/>
        </w:rPr>
      </w:pPr>
    </w:p>
    <w:p w14:paraId="3A055A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4A9555-9E7F-4496-8C43-4D56069342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229CCA9-3364-4635-A11E-83660FA9AF1C}"/>
  </w:font>
  <w:font w:name="方正小标宋简体">
    <w:panose1 w:val="02000000000000000000"/>
    <w:charset w:val="86"/>
    <w:family w:val="script"/>
    <w:pitch w:val="default"/>
    <w:sig w:usb0="00000001" w:usb1="08000000" w:usb2="00000000" w:usb3="00000000" w:csb0="00040000" w:csb1="00000000"/>
    <w:embedRegular r:id="rId3" w:fontKey="{C1BA6416-53D5-443C-BAC9-1AFED46CD7FC}"/>
  </w:font>
  <w:font w:name="仿宋_GB2312">
    <w:panose1 w:val="02010609030101010101"/>
    <w:charset w:val="86"/>
    <w:family w:val="modern"/>
    <w:pitch w:val="default"/>
    <w:sig w:usb0="00000001" w:usb1="080E0000" w:usb2="00000000" w:usb3="00000000" w:csb0="00040000" w:csb1="00000000"/>
    <w:embedRegular r:id="rId4" w:fontKey="{D2A4D5DA-D3D8-4DE3-8BA0-F4CE701D88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17027"/>
    <w:rsid w:val="68F1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2025-09-25T02:19:00Z</dcterms:created>
  <dc:creator>徐红</dc:creator>
  <cp:lastModifiedBy>徐红</cp:lastModifiedBy>
  <dcterms:modified xsi:type="dcterms:W3CDTF">2025-09-25T02:20:49Z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95CD8EB8E4B84D319B84785385DF10F1_11</vt:lpwstr>
  </property>
  <property fmtid="{D5CDD505-2E9C-101B-9397-08002B2CF9AE}" pid="4" name="KSOTemplateDocerSaveRecord">
    <vt:lpwstr>eyJoZGlkIjoiMzEwNTM5NzYwMDRjMzkwZTVkZjY2ODkwMGIxNGU0OTUiLCJ1c2VySWQiOiIxNjkwMjM3Mjg2In0=</vt:lpwstr>
  </property>
</Properties>
</file>